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B6A" w:rsidRPr="00B85B6A" w:rsidRDefault="00B85B6A" w:rsidP="00B85B6A">
      <w:pPr>
        <w:spacing w:line="320" w:lineRule="exact"/>
        <w:ind w:firstLine="708"/>
        <w:jc w:val="right"/>
        <w:rPr>
          <w:bCs/>
          <w:iCs/>
          <w:sz w:val="24"/>
          <w:szCs w:val="24"/>
        </w:rPr>
      </w:pPr>
      <w:r w:rsidRPr="00B85B6A">
        <w:rPr>
          <w:bCs/>
          <w:iCs/>
          <w:sz w:val="24"/>
          <w:szCs w:val="24"/>
        </w:rPr>
        <w:t>Приложение №</w:t>
      </w:r>
      <w:r w:rsidR="00E676F1">
        <w:rPr>
          <w:bCs/>
          <w:iCs/>
          <w:sz w:val="24"/>
          <w:szCs w:val="24"/>
        </w:rPr>
        <w:t>4</w:t>
      </w:r>
      <w:r w:rsidRPr="00B85B6A">
        <w:rPr>
          <w:bCs/>
          <w:iCs/>
          <w:sz w:val="24"/>
          <w:szCs w:val="24"/>
          <w:lang w:val="en-US"/>
        </w:rPr>
        <w:t xml:space="preserve"> </w:t>
      </w:r>
    </w:p>
    <w:p w:rsidR="00B85B6A" w:rsidRDefault="00B85B6A" w:rsidP="00B85B6A">
      <w:pPr>
        <w:spacing w:line="320" w:lineRule="exact"/>
        <w:ind w:firstLine="708"/>
        <w:jc w:val="both"/>
        <w:rPr>
          <w:b/>
          <w:bCs/>
          <w:iCs/>
          <w:sz w:val="24"/>
          <w:szCs w:val="24"/>
        </w:rPr>
      </w:pPr>
    </w:p>
    <w:p w:rsidR="00B85B6A" w:rsidRPr="00B85B6A" w:rsidRDefault="00B85B6A" w:rsidP="00B85B6A">
      <w:pPr>
        <w:widowControl/>
        <w:shd w:val="clear" w:color="auto" w:fill="C2D69B"/>
        <w:tabs>
          <w:tab w:val="left" w:pos="209"/>
          <w:tab w:val="left" w:pos="709"/>
          <w:tab w:val="left" w:pos="993"/>
          <w:tab w:val="center" w:pos="4932"/>
        </w:tabs>
        <w:spacing w:after="120" w:line="320" w:lineRule="exact"/>
        <w:jc w:val="center"/>
        <w:rPr>
          <w:rFonts w:eastAsia="Calibri"/>
          <w:b/>
          <w:bCs/>
          <w:sz w:val="24"/>
          <w:szCs w:val="24"/>
        </w:rPr>
      </w:pPr>
      <w:r w:rsidRPr="00B85B6A">
        <w:rPr>
          <w:rFonts w:eastAsia="Calibri"/>
          <w:b/>
          <w:bCs/>
          <w:sz w:val="24"/>
          <w:szCs w:val="24"/>
        </w:rPr>
        <w:t>МЕТОДИКА ЗА ОПРЕДЕЛЯНЕ НА КОМПЛЕКСНАТА ОЦЕНКА</w:t>
      </w:r>
    </w:p>
    <w:p w:rsidR="00B85B6A" w:rsidRDefault="00B85B6A" w:rsidP="00B85B6A">
      <w:pPr>
        <w:widowControl/>
        <w:tabs>
          <w:tab w:val="left" w:pos="709"/>
          <w:tab w:val="left" w:pos="993"/>
        </w:tabs>
        <w:autoSpaceDE/>
        <w:autoSpaceDN/>
        <w:adjustRightInd/>
        <w:spacing w:line="320" w:lineRule="exact"/>
        <w:jc w:val="center"/>
        <w:rPr>
          <w:rFonts w:eastAsia="Calibri"/>
          <w:sz w:val="24"/>
          <w:szCs w:val="24"/>
          <w:lang w:eastAsia="en-US"/>
        </w:rPr>
      </w:pPr>
      <w:r w:rsidRPr="00B85B6A">
        <w:rPr>
          <w:rFonts w:eastAsia="Calibri"/>
          <w:sz w:val="24"/>
          <w:szCs w:val="24"/>
          <w:lang w:eastAsia="en-US"/>
        </w:rPr>
        <w:t>на офертите за участие в обществена поръчка с предмет:</w:t>
      </w:r>
    </w:p>
    <w:p w:rsidR="0043491B" w:rsidRPr="00B85B6A" w:rsidRDefault="0043491B" w:rsidP="00B85B6A">
      <w:pPr>
        <w:widowControl/>
        <w:tabs>
          <w:tab w:val="left" w:pos="709"/>
          <w:tab w:val="left" w:pos="993"/>
        </w:tabs>
        <w:autoSpaceDE/>
        <w:autoSpaceDN/>
        <w:adjustRightInd/>
        <w:spacing w:line="320" w:lineRule="exact"/>
        <w:jc w:val="center"/>
        <w:rPr>
          <w:rFonts w:eastAsia="Calibri"/>
          <w:b/>
          <w:sz w:val="24"/>
          <w:szCs w:val="24"/>
          <w:lang w:eastAsia="en-US"/>
        </w:rPr>
      </w:pPr>
    </w:p>
    <w:p w:rsidR="00957073" w:rsidRDefault="00B85B6A" w:rsidP="00957073">
      <w:pPr>
        <w:widowControl/>
        <w:tabs>
          <w:tab w:val="left" w:pos="0"/>
        </w:tabs>
        <w:autoSpaceDE/>
        <w:autoSpaceDN/>
        <w:adjustRightInd/>
        <w:spacing w:line="320" w:lineRule="exact"/>
        <w:jc w:val="center"/>
        <w:rPr>
          <w:rFonts w:eastAsia="Calibri"/>
          <w:sz w:val="24"/>
          <w:szCs w:val="24"/>
          <w:lang w:eastAsia="en-US"/>
        </w:rPr>
      </w:pPr>
      <w:r w:rsidRPr="00B85B6A">
        <w:rPr>
          <w:rFonts w:eastAsia="Calibri"/>
          <w:sz w:val="24"/>
          <w:szCs w:val="24"/>
          <w:lang w:eastAsia="en-US"/>
        </w:rPr>
        <w:t>Застраховка за 20</w:t>
      </w:r>
      <w:r w:rsidR="003E4A33">
        <w:rPr>
          <w:rFonts w:eastAsia="Calibri"/>
          <w:sz w:val="24"/>
          <w:szCs w:val="24"/>
          <w:lang w:eastAsia="en-US"/>
        </w:rPr>
        <w:t>20</w:t>
      </w:r>
      <w:r w:rsidRPr="00B85B6A">
        <w:rPr>
          <w:rFonts w:eastAsia="Calibri"/>
          <w:sz w:val="24"/>
          <w:szCs w:val="24"/>
          <w:lang w:eastAsia="en-US"/>
        </w:rPr>
        <w:t xml:space="preserve"> г. на МПС, инженерна и плавателна техника собственост на МВР, такава получена за временно ползване от МВР, както и допълнително оборудване към тях”</w:t>
      </w:r>
      <w:r w:rsidR="00957073">
        <w:rPr>
          <w:rFonts w:eastAsia="Calibri"/>
          <w:sz w:val="24"/>
          <w:szCs w:val="24"/>
          <w:lang w:eastAsia="en-US"/>
        </w:rPr>
        <w:t xml:space="preserve"> </w:t>
      </w:r>
    </w:p>
    <w:p w:rsidR="003E4A33" w:rsidRPr="00634C19" w:rsidRDefault="003E4A33" w:rsidP="00957073">
      <w:pPr>
        <w:widowControl/>
        <w:tabs>
          <w:tab w:val="left" w:pos="0"/>
        </w:tabs>
        <w:autoSpaceDE/>
        <w:autoSpaceDN/>
        <w:adjustRightInd/>
        <w:spacing w:line="320" w:lineRule="exact"/>
        <w:jc w:val="center"/>
        <w:rPr>
          <w:bCs/>
          <w:iCs/>
          <w:sz w:val="24"/>
          <w:szCs w:val="24"/>
        </w:rPr>
      </w:pPr>
    </w:p>
    <w:p w:rsidR="00B85B6A" w:rsidRDefault="00957073" w:rsidP="003E4A33">
      <w:pPr>
        <w:spacing w:line="320" w:lineRule="exact"/>
        <w:jc w:val="center"/>
        <w:rPr>
          <w:b/>
          <w:color w:val="000000"/>
          <w:sz w:val="24"/>
          <w:szCs w:val="24"/>
        </w:rPr>
      </w:pPr>
      <w:r>
        <w:rPr>
          <w:bCs/>
          <w:iCs/>
          <w:sz w:val="24"/>
          <w:szCs w:val="24"/>
        </w:rPr>
        <w:t xml:space="preserve">по </w:t>
      </w:r>
      <w:r w:rsidR="003E4A33">
        <w:rPr>
          <w:bCs/>
          <w:iCs/>
          <w:sz w:val="24"/>
          <w:szCs w:val="24"/>
        </w:rPr>
        <w:t xml:space="preserve">обособена </w:t>
      </w:r>
      <w:r w:rsidR="00B85B6A" w:rsidRPr="00634C19">
        <w:rPr>
          <w:bCs/>
          <w:iCs/>
          <w:sz w:val="24"/>
          <w:szCs w:val="24"/>
        </w:rPr>
        <w:t>позиция № 2:</w:t>
      </w:r>
      <w:r w:rsidR="00B85B6A" w:rsidRPr="00634C19">
        <w:rPr>
          <w:b/>
          <w:color w:val="000000"/>
          <w:sz w:val="24"/>
          <w:szCs w:val="24"/>
        </w:rPr>
        <w:t xml:space="preserve"> Застраховка „Гражданска отговорност”</w:t>
      </w:r>
    </w:p>
    <w:p w:rsidR="00957073" w:rsidRDefault="00957073" w:rsidP="00B85B6A">
      <w:pPr>
        <w:spacing w:line="320" w:lineRule="exact"/>
        <w:ind w:firstLine="708"/>
        <w:jc w:val="both"/>
        <w:rPr>
          <w:b/>
          <w:color w:val="000000"/>
          <w:sz w:val="24"/>
          <w:szCs w:val="24"/>
        </w:rPr>
      </w:pPr>
    </w:p>
    <w:p w:rsidR="00041D1B" w:rsidRPr="00041D1B" w:rsidRDefault="00041D1B" w:rsidP="00041D1B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  <w:lang w:eastAsia="en-US"/>
        </w:rPr>
      </w:pPr>
      <w:r w:rsidRPr="00041D1B">
        <w:rPr>
          <w:sz w:val="24"/>
          <w:szCs w:val="24"/>
          <w:lang w:val="en-US" w:eastAsia="en-US"/>
        </w:rPr>
        <w:t xml:space="preserve">           </w:t>
      </w:r>
      <w:r w:rsidRPr="00041D1B">
        <w:rPr>
          <w:sz w:val="24"/>
          <w:szCs w:val="24"/>
          <w:lang w:eastAsia="en-US"/>
        </w:rPr>
        <w:t xml:space="preserve">Методиката за определяне на комплексната оценка има за цел избор на </w:t>
      </w:r>
      <w:r w:rsidRPr="00041D1B">
        <w:rPr>
          <w:b/>
          <w:sz w:val="24"/>
          <w:szCs w:val="24"/>
          <w:lang w:eastAsia="en-US"/>
        </w:rPr>
        <w:t>икономически най-изгодната оферта</w:t>
      </w:r>
      <w:r w:rsidRPr="00041D1B">
        <w:rPr>
          <w:sz w:val="24"/>
          <w:szCs w:val="24"/>
          <w:lang w:eastAsia="en-US"/>
        </w:rPr>
        <w:t>. Тя се определя въз основа на критерия за възлагане: „</w:t>
      </w:r>
      <w:r w:rsidRPr="00041D1B">
        <w:rPr>
          <w:b/>
          <w:sz w:val="24"/>
          <w:szCs w:val="24"/>
          <w:lang w:eastAsia="en-US"/>
        </w:rPr>
        <w:t>оптимално съотношение качество/цена</w:t>
      </w:r>
      <w:r w:rsidRPr="00041D1B">
        <w:rPr>
          <w:sz w:val="24"/>
          <w:szCs w:val="24"/>
          <w:lang w:eastAsia="en-US"/>
        </w:rPr>
        <w:t>“.</w:t>
      </w:r>
    </w:p>
    <w:p w:rsidR="00041D1B" w:rsidRPr="00041D1B" w:rsidRDefault="00041D1B" w:rsidP="00041D1B">
      <w:pPr>
        <w:widowControl/>
        <w:tabs>
          <w:tab w:val="left" w:pos="0"/>
        </w:tabs>
        <w:autoSpaceDE/>
        <w:autoSpaceDN/>
        <w:adjustRightInd/>
        <w:spacing w:line="320" w:lineRule="exact"/>
        <w:jc w:val="center"/>
        <w:rPr>
          <w:rFonts w:eastAsia="Calibri"/>
          <w:b/>
          <w:sz w:val="24"/>
          <w:szCs w:val="24"/>
          <w:lang w:eastAsia="en-US"/>
        </w:rPr>
      </w:pPr>
    </w:p>
    <w:p w:rsidR="00041D1B" w:rsidRPr="00041D1B" w:rsidRDefault="00041D1B" w:rsidP="00041D1B">
      <w:pPr>
        <w:widowControl/>
        <w:autoSpaceDE/>
        <w:autoSpaceDN/>
        <w:adjustRightInd/>
        <w:spacing w:line="320" w:lineRule="exact"/>
        <w:jc w:val="both"/>
        <w:rPr>
          <w:sz w:val="24"/>
          <w:szCs w:val="24"/>
          <w:lang w:eastAsia="en-US"/>
        </w:rPr>
      </w:pPr>
      <w:r w:rsidRPr="00041D1B">
        <w:rPr>
          <w:sz w:val="24"/>
          <w:szCs w:val="24"/>
          <w:lang w:eastAsia="en-US"/>
        </w:rPr>
        <w:t xml:space="preserve">       </w:t>
      </w:r>
      <w:r w:rsidRPr="00041D1B">
        <w:rPr>
          <w:sz w:val="24"/>
          <w:szCs w:val="24"/>
          <w:lang w:val="en-US" w:eastAsia="en-US"/>
        </w:rPr>
        <w:t xml:space="preserve">   </w:t>
      </w:r>
      <w:r w:rsidRPr="00041D1B">
        <w:rPr>
          <w:sz w:val="24"/>
          <w:szCs w:val="24"/>
          <w:lang w:eastAsia="en-US"/>
        </w:rPr>
        <w:t>Оценяването на офертите на участниците се извършва по посочените показатели, свързани с предмета на поръчката, както следва:</w:t>
      </w:r>
    </w:p>
    <w:p w:rsidR="00041D1B" w:rsidRPr="00634C19" w:rsidRDefault="00041D1B" w:rsidP="00B85B6A">
      <w:pPr>
        <w:spacing w:line="320" w:lineRule="exact"/>
        <w:ind w:firstLine="708"/>
        <w:jc w:val="both"/>
        <w:rPr>
          <w:b/>
          <w:color w:val="000000"/>
          <w:sz w:val="24"/>
          <w:szCs w:val="24"/>
        </w:rPr>
      </w:pPr>
    </w:p>
    <w:p w:rsidR="00B85B6A" w:rsidRPr="000C6370" w:rsidRDefault="00B85B6A" w:rsidP="00B85B6A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43491B">
        <w:rPr>
          <w:sz w:val="24"/>
          <w:szCs w:val="24"/>
        </w:rPr>
        <w:t xml:space="preserve"> </w:t>
      </w:r>
      <w:r w:rsidRPr="000C6370">
        <w:rPr>
          <w:sz w:val="24"/>
          <w:szCs w:val="24"/>
        </w:rPr>
        <w:t>Показатели за оценка на предложенията</w:t>
      </w:r>
      <w:r w:rsidR="008C4F9E" w:rsidRPr="000C6370">
        <w:rPr>
          <w:sz w:val="24"/>
          <w:szCs w:val="24"/>
        </w:rPr>
        <w:t>:</w:t>
      </w:r>
    </w:p>
    <w:p w:rsidR="00B85B6A" w:rsidRPr="000C6370" w:rsidRDefault="00B85B6A" w:rsidP="0043491B">
      <w:pPr>
        <w:ind w:firstLine="709"/>
        <w:jc w:val="both"/>
        <w:rPr>
          <w:sz w:val="24"/>
          <w:szCs w:val="24"/>
        </w:rPr>
      </w:pPr>
      <w:r w:rsidRPr="000C6370">
        <w:rPr>
          <w:sz w:val="24"/>
          <w:szCs w:val="24"/>
        </w:rPr>
        <w:t>К</w:t>
      </w:r>
      <w:r w:rsidRPr="000C6370">
        <w:rPr>
          <w:sz w:val="24"/>
          <w:szCs w:val="24"/>
          <w:vertAlign w:val="subscript"/>
        </w:rPr>
        <w:t>1</w:t>
      </w:r>
      <w:r w:rsidR="006D06A0" w:rsidRPr="000C6370">
        <w:rPr>
          <w:sz w:val="24"/>
          <w:szCs w:val="24"/>
        </w:rPr>
        <w:t xml:space="preserve"> - застрахователна сума за неимуществени и имуществени вреди вследствие на телесно увреждане или смърт, за всяко събитие, независимо от броя на пострадалите лица</w:t>
      </w:r>
      <w:r w:rsidRPr="000C6370">
        <w:rPr>
          <w:sz w:val="24"/>
          <w:szCs w:val="24"/>
        </w:rPr>
        <w:t>,</w:t>
      </w:r>
    </w:p>
    <w:p w:rsidR="00B85B6A" w:rsidRPr="000C6370" w:rsidRDefault="00B85B6A" w:rsidP="0043491B">
      <w:pPr>
        <w:ind w:firstLine="709"/>
        <w:jc w:val="both"/>
        <w:rPr>
          <w:sz w:val="24"/>
          <w:szCs w:val="24"/>
        </w:rPr>
      </w:pPr>
      <w:r w:rsidRPr="000C6370">
        <w:rPr>
          <w:sz w:val="24"/>
          <w:szCs w:val="24"/>
        </w:rPr>
        <w:t>К</w:t>
      </w:r>
      <w:r w:rsidRPr="000C6370">
        <w:rPr>
          <w:sz w:val="24"/>
          <w:szCs w:val="24"/>
          <w:vertAlign w:val="subscript"/>
        </w:rPr>
        <w:t>2</w:t>
      </w:r>
      <w:r w:rsidRPr="000C6370">
        <w:rPr>
          <w:sz w:val="24"/>
          <w:szCs w:val="24"/>
        </w:rPr>
        <w:t xml:space="preserve"> - застрахователна сума за </w:t>
      </w:r>
      <w:r w:rsidR="006D06A0" w:rsidRPr="000C6370">
        <w:rPr>
          <w:sz w:val="24"/>
          <w:szCs w:val="24"/>
        </w:rPr>
        <w:t>вреди на имущество (вещи), за всяко събитие, независимо от броя на увредените лица</w:t>
      </w:r>
      <w:r w:rsidRPr="000C6370">
        <w:rPr>
          <w:sz w:val="24"/>
          <w:szCs w:val="24"/>
        </w:rPr>
        <w:t>,</w:t>
      </w:r>
    </w:p>
    <w:p w:rsidR="00B85B6A" w:rsidRPr="000C6370" w:rsidRDefault="00B85B6A" w:rsidP="0043491B">
      <w:pPr>
        <w:tabs>
          <w:tab w:val="num" w:pos="2130"/>
        </w:tabs>
        <w:ind w:firstLine="709"/>
        <w:jc w:val="both"/>
        <w:rPr>
          <w:sz w:val="24"/>
          <w:szCs w:val="24"/>
        </w:rPr>
      </w:pPr>
      <w:r w:rsidRPr="000C6370">
        <w:rPr>
          <w:sz w:val="24"/>
          <w:szCs w:val="24"/>
        </w:rPr>
        <w:t>К</w:t>
      </w:r>
      <w:r w:rsidRPr="000C6370">
        <w:rPr>
          <w:sz w:val="24"/>
          <w:szCs w:val="24"/>
          <w:vertAlign w:val="subscript"/>
        </w:rPr>
        <w:t>3</w:t>
      </w:r>
      <w:r w:rsidRPr="000C6370">
        <w:rPr>
          <w:sz w:val="24"/>
          <w:szCs w:val="24"/>
        </w:rPr>
        <w:t xml:space="preserve"> </w:t>
      </w:r>
      <w:r w:rsidR="006D06A0" w:rsidRPr="000C6370">
        <w:rPr>
          <w:sz w:val="24"/>
          <w:szCs w:val="24"/>
        </w:rPr>
        <w:t xml:space="preserve">- </w:t>
      </w:r>
      <w:r w:rsidRPr="000C6370">
        <w:rPr>
          <w:sz w:val="24"/>
          <w:szCs w:val="24"/>
        </w:rPr>
        <w:t>обща застрахователна премия.</w:t>
      </w:r>
    </w:p>
    <w:p w:rsidR="00B85B6A" w:rsidRPr="000C6370" w:rsidRDefault="00B85B6A" w:rsidP="0043491B">
      <w:pPr>
        <w:tabs>
          <w:tab w:val="num" w:pos="2130"/>
        </w:tabs>
        <w:ind w:firstLine="709"/>
        <w:jc w:val="both"/>
        <w:rPr>
          <w:sz w:val="24"/>
          <w:szCs w:val="24"/>
        </w:rPr>
      </w:pPr>
      <w:r w:rsidRPr="000C6370">
        <w:rPr>
          <w:sz w:val="24"/>
          <w:szCs w:val="24"/>
        </w:rPr>
        <w:t>A</w:t>
      </w:r>
      <w:r w:rsidRPr="000C6370">
        <w:rPr>
          <w:sz w:val="24"/>
          <w:szCs w:val="24"/>
          <w:vertAlign w:val="subscript"/>
        </w:rPr>
        <w:t>1</w:t>
      </w:r>
      <w:r w:rsidRPr="000C6370">
        <w:rPr>
          <w:sz w:val="24"/>
          <w:szCs w:val="24"/>
        </w:rPr>
        <w:t xml:space="preserve"> – тежест на показателя К</w:t>
      </w:r>
      <w:r w:rsidRPr="000C6370">
        <w:rPr>
          <w:sz w:val="24"/>
          <w:szCs w:val="24"/>
          <w:vertAlign w:val="subscript"/>
        </w:rPr>
        <w:t>1</w:t>
      </w:r>
      <w:r w:rsidRPr="000C6370">
        <w:rPr>
          <w:sz w:val="24"/>
          <w:szCs w:val="24"/>
        </w:rPr>
        <w:t xml:space="preserve"> в комплексната оценка – 1</w:t>
      </w:r>
      <w:r w:rsidR="006D06A0" w:rsidRPr="000C6370">
        <w:rPr>
          <w:sz w:val="24"/>
          <w:szCs w:val="24"/>
        </w:rPr>
        <w:t>5</w:t>
      </w:r>
      <w:r w:rsidRPr="000C6370">
        <w:rPr>
          <w:sz w:val="24"/>
          <w:szCs w:val="24"/>
        </w:rPr>
        <w:t xml:space="preserve">%, </w:t>
      </w:r>
    </w:p>
    <w:p w:rsidR="00B85B6A" w:rsidRPr="000C6370" w:rsidRDefault="00B85B6A" w:rsidP="0043491B">
      <w:pPr>
        <w:tabs>
          <w:tab w:val="num" w:pos="2130"/>
        </w:tabs>
        <w:ind w:firstLine="709"/>
        <w:jc w:val="both"/>
        <w:rPr>
          <w:sz w:val="24"/>
          <w:szCs w:val="24"/>
        </w:rPr>
      </w:pPr>
      <w:r w:rsidRPr="000C6370">
        <w:rPr>
          <w:sz w:val="24"/>
          <w:szCs w:val="24"/>
        </w:rPr>
        <w:t>A</w:t>
      </w:r>
      <w:r w:rsidRPr="000C6370">
        <w:rPr>
          <w:sz w:val="24"/>
          <w:szCs w:val="24"/>
          <w:vertAlign w:val="subscript"/>
        </w:rPr>
        <w:t>2</w:t>
      </w:r>
      <w:r w:rsidRPr="000C6370">
        <w:rPr>
          <w:sz w:val="24"/>
          <w:szCs w:val="24"/>
        </w:rPr>
        <w:t xml:space="preserve"> – тежест на показателя К</w:t>
      </w:r>
      <w:r w:rsidRPr="000C6370">
        <w:rPr>
          <w:sz w:val="24"/>
          <w:szCs w:val="24"/>
          <w:vertAlign w:val="subscript"/>
        </w:rPr>
        <w:t xml:space="preserve">2 </w:t>
      </w:r>
      <w:r w:rsidRPr="000C6370">
        <w:rPr>
          <w:sz w:val="24"/>
          <w:szCs w:val="24"/>
        </w:rPr>
        <w:t>в комплексната оценка – 1</w:t>
      </w:r>
      <w:r w:rsidR="006D06A0" w:rsidRPr="000C6370">
        <w:rPr>
          <w:sz w:val="24"/>
          <w:szCs w:val="24"/>
        </w:rPr>
        <w:t>5</w:t>
      </w:r>
      <w:r w:rsidRPr="000C6370">
        <w:rPr>
          <w:sz w:val="24"/>
          <w:szCs w:val="24"/>
        </w:rPr>
        <w:t>%,</w:t>
      </w:r>
    </w:p>
    <w:p w:rsidR="00B85B6A" w:rsidRPr="00634C19" w:rsidRDefault="00B85B6A" w:rsidP="0043491B">
      <w:pPr>
        <w:tabs>
          <w:tab w:val="num" w:pos="2130"/>
        </w:tabs>
        <w:ind w:firstLine="709"/>
        <w:jc w:val="both"/>
        <w:rPr>
          <w:sz w:val="24"/>
          <w:szCs w:val="24"/>
        </w:rPr>
      </w:pPr>
      <w:r w:rsidRPr="000C6370">
        <w:rPr>
          <w:sz w:val="24"/>
          <w:szCs w:val="24"/>
        </w:rPr>
        <w:t>A</w:t>
      </w:r>
      <w:r w:rsidRPr="000C6370">
        <w:rPr>
          <w:sz w:val="24"/>
          <w:szCs w:val="24"/>
          <w:vertAlign w:val="subscript"/>
        </w:rPr>
        <w:t>3</w:t>
      </w:r>
      <w:r w:rsidR="006D06A0" w:rsidRPr="000C6370">
        <w:rPr>
          <w:sz w:val="24"/>
          <w:szCs w:val="24"/>
          <w:vertAlign w:val="subscript"/>
        </w:rPr>
        <w:t xml:space="preserve"> </w:t>
      </w:r>
      <w:r w:rsidRPr="000C6370">
        <w:rPr>
          <w:sz w:val="24"/>
          <w:szCs w:val="24"/>
        </w:rPr>
        <w:t>– тежест на показателя К</w:t>
      </w:r>
      <w:r w:rsidRPr="000C6370">
        <w:rPr>
          <w:sz w:val="24"/>
          <w:szCs w:val="24"/>
          <w:vertAlign w:val="subscript"/>
        </w:rPr>
        <w:t>4</w:t>
      </w:r>
      <w:r w:rsidRPr="000C6370">
        <w:rPr>
          <w:sz w:val="24"/>
          <w:szCs w:val="24"/>
        </w:rPr>
        <w:t xml:space="preserve"> в комплексната оценка – 70%.</w:t>
      </w:r>
    </w:p>
    <w:p w:rsidR="00B85B6A" w:rsidRPr="00634C19" w:rsidRDefault="00B85B6A" w:rsidP="00B85B6A">
      <w:pPr>
        <w:tabs>
          <w:tab w:val="num" w:pos="2130"/>
        </w:tabs>
        <w:jc w:val="both"/>
        <w:rPr>
          <w:sz w:val="24"/>
          <w:szCs w:val="24"/>
        </w:rPr>
      </w:pPr>
    </w:p>
    <w:p w:rsidR="00B85B6A" w:rsidRPr="005D76ED" w:rsidRDefault="00B85B6A" w:rsidP="00B85B6A">
      <w:pPr>
        <w:tabs>
          <w:tab w:val="num" w:pos="2130"/>
        </w:tabs>
        <w:jc w:val="both"/>
        <w:rPr>
          <w:sz w:val="24"/>
          <w:szCs w:val="24"/>
        </w:rPr>
      </w:pPr>
      <w:r w:rsidRPr="00634C19">
        <w:rPr>
          <w:sz w:val="24"/>
          <w:szCs w:val="24"/>
        </w:rPr>
        <w:t xml:space="preserve">            При предложен неограничен лимит на застрахователна сума,  показателите К1, К2 и К3 се оценяват с </w:t>
      </w:r>
      <w:r w:rsidRPr="005D76ED">
        <w:rPr>
          <w:sz w:val="24"/>
          <w:szCs w:val="24"/>
        </w:rPr>
        <w:t>по 1</w:t>
      </w:r>
      <w:r w:rsidR="005D76ED" w:rsidRPr="005D76ED">
        <w:rPr>
          <w:sz w:val="24"/>
          <w:szCs w:val="24"/>
        </w:rPr>
        <w:t>0</w:t>
      </w:r>
      <w:r w:rsidRPr="005D76ED">
        <w:rPr>
          <w:sz w:val="24"/>
          <w:szCs w:val="24"/>
        </w:rPr>
        <w:t xml:space="preserve"> точки. Всички останали предложения се оценяват по следната формула:</w:t>
      </w:r>
    </w:p>
    <w:p w:rsidR="00B85B6A" w:rsidRPr="005D76ED" w:rsidRDefault="00B85B6A" w:rsidP="00B85B6A">
      <w:pPr>
        <w:tabs>
          <w:tab w:val="num" w:pos="2130"/>
        </w:tabs>
        <w:ind w:firstLine="1560"/>
        <w:jc w:val="both"/>
        <w:rPr>
          <w:sz w:val="24"/>
          <w:szCs w:val="24"/>
        </w:rPr>
      </w:pPr>
      <w:bookmarkStart w:id="0" w:name="_GoBack"/>
      <w:bookmarkEnd w:id="0"/>
    </w:p>
    <w:p w:rsidR="00B85B6A" w:rsidRPr="00634C19" w:rsidRDefault="008206EF" w:rsidP="00B85B6A">
      <w:pPr>
        <w:tabs>
          <w:tab w:val="num" w:pos="2130"/>
        </w:tabs>
        <w:ind w:firstLine="1560"/>
        <w:jc w:val="both"/>
        <w:rPr>
          <w:sz w:val="24"/>
          <w:szCs w:val="24"/>
        </w:rPr>
      </w:pPr>
      <w:r w:rsidRPr="005D76ED">
        <w:rPr>
          <w:position w:val="-30"/>
          <w:sz w:val="24"/>
          <w:szCs w:val="24"/>
        </w:rPr>
        <w:object w:dxaOrig="69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4.5pt;height:34pt" o:ole="">
            <v:imagedata r:id="rId4" o:title=""/>
          </v:shape>
          <o:OLEObject Type="Embed" ProgID="Equation.3" ShapeID="_x0000_i1025" DrawAspect="Content" ObjectID="_1620544609" r:id="rId5"/>
        </w:object>
      </w:r>
    </w:p>
    <w:p w:rsidR="00B85B6A" w:rsidRPr="00634C19" w:rsidRDefault="00B85B6A" w:rsidP="00B85B6A">
      <w:pPr>
        <w:tabs>
          <w:tab w:val="num" w:pos="2130"/>
        </w:tabs>
        <w:jc w:val="both"/>
        <w:rPr>
          <w:sz w:val="24"/>
          <w:szCs w:val="24"/>
        </w:rPr>
      </w:pPr>
    </w:p>
    <w:p w:rsidR="00B85B6A" w:rsidRDefault="00B85B6A" w:rsidP="00B85B6A">
      <w:pPr>
        <w:tabs>
          <w:tab w:val="num" w:pos="2130"/>
        </w:tabs>
        <w:ind w:firstLine="993"/>
        <w:jc w:val="both"/>
        <w:rPr>
          <w:sz w:val="24"/>
          <w:szCs w:val="24"/>
        </w:rPr>
      </w:pPr>
    </w:p>
    <w:p w:rsidR="00B85B6A" w:rsidRPr="00737E30" w:rsidRDefault="006D06A0" w:rsidP="00B85B6A">
      <w:pPr>
        <w:tabs>
          <w:tab w:val="num" w:pos="2130"/>
        </w:tabs>
        <w:ind w:firstLine="993"/>
        <w:jc w:val="both"/>
        <w:rPr>
          <w:sz w:val="24"/>
          <w:szCs w:val="24"/>
          <w:lang w:val="en-US"/>
        </w:rPr>
      </w:pPr>
      <w:r w:rsidRPr="00634C19">
        <w:rPr>
          <w:position w:val="-30"/>
          <w:sz w:val="24"/>
          <w:szCs w:val="24"/>
        </w:rPr>
        <w:object w:dxaOrig="8020" w:dyaOrig="680">
          <v:shape id="_x0000_i1026" type="#_x0000_t75" style="width:401pt;height:34pt" o:ole="">
            <v:imagedata r:id="rId6" o:title=""/>
          </v:shape>
          <o:OLEObject Type="Embed" ProgID="Equation.3" ShapeID="_x0000_i1026" DrawAspect="Content" ObjectID="_1620544610" r:id="rId7"/>
        </w:object>
      </w:r>
    </w:p>
    <w:p w:rsidR="00B85B6A" w:rsidRPr="00634C19" w:rsidRDefault="00B85B6A" w:rsidP="00B85B6A">
      <w:pPr>
        <w:jc w:val="both"/>
        <w:rPr>
          <w:sz w:val="24"/>
          <w:szCs w:val="24"/>
        </w:rPr>
      </w:pPr>
      <w:r w:rsidRPr="00634C19">
        <w:rPr>
          <w:sz w:val="24"/>
          <w:szCs w:val="24"/>
        </w:rPr>
        <w:t xml:space="preserve">      </w:t>
      </w:r>
    </w:p>
    <w:p w:rsidR="00B85B6A" w:rsidRDefault="00B85B6A" w:rsidP="00B85B6A">
      <w:pPr>
        <w:jc w:val="both"/>
        <w:rPr>
          <w:sz w:val="24"/>
          <w:szCs w:val="24"/>
        </w:rPr>
      </w:pPr>
      <w:r w:rsidRPr="00634C19">
        <w:rPr>
          <w:sz w:val="24"/>
          <w:szCs w:val="24"/>
        </w:rPr>
        <w:t xml:space="preserve">          </w:t>
      </w:r>
    </w:p>
    <w:p w:rsidR="00B85B6A" w:rsidRDefault="00B85B6A" w:rsidP="00B85B6A">
      <w:pPr>
        <w:ind w:firstLine="709"/>
        <w:jc w:val="both"/>
        <w:rPr>
          <w:sz w:val="24"/>
          <w:szCs w:val="24"/>
          <w:vertAlign w:val="subscript"/>
        </w:rPr>
      </w:pPr>
      <w:proofErr w:type="spellStart"/>
      <w:r w:rsidRPr="00634C19">
        <w:rPr>
          <w:sz w:val="24"/>
          <w:szCs w:val="24"/>
        </w:rPr>
        <w:t>К</w:t>
      </w:r>
      <w:r w:rsidRPr="00634C19">
        <w:rPr>
          <w:sz w:val="24"/>
          <w:szCs w:val="24"/>
          <w:vertAlign w:val="subscript"/>
        </w:rPr>
        <w:t>компл</w:t>
      </w:r>
      <w:proofErr w:type="spellEnd"/>
      <w:r w:rsidRPr="00634C19">
        <w:rPr>
          <w:sz w:val="24"/>
          <w:szCs w:val="24"/>
        </w:rPr>
        <w:t xml:space="preserve"> =  A</w:t>
      </w:r>
      <w:r w:rsidRPr="00634C19">
        <w:rPr>
          <w:sz w:val="24"/>
          <w:szCs w:val="24"/>
          <w:vertAlign w:val="subscript"/>
        </w:rPr>
        <w:t>1</w:t>
      </w:r>
      <w:r w:rsidRPr="00634C19">
        <w:rPr>
          <w:sz w:val="24"/>
          <w:szCs w:val="24"/>
        </w:rPr>
        <w:t>хК</w:t>
      </w:r>
      <w:r w:rsidRPr="00634C19">
        <w:rPr>
          <w:sz w:val="24"/>
          <w:szCs w:val="24"/>
          <w:vertAlign w:val="subscript"/>
        </w:rPr>
        <w:t>1</w:t>
      </w:r>
      <w:r w:rsidRPr="00634C19">
        <w:rPr>
          <w:sz w:val="24"/>
          <w:szCs w:val="24"/>
        </w:rPr>
        <w:t xml:space="preserve"> + A</w:t>
      </w:r>
      <w:r w:rsidRPr="00634C19">
        <w:rPr>
          <w:sz w:val="24"/>
          <w:szCs w:val="24"/>
          <w:vertAlign w:val="subscript"/>
        </w:rPr>
        <w:t>2</w:t>
      </w:r>
      <w:r w:rsidRPr="00634C19">
        <w:rPr>
          <w:sz w:val="24"/>
          <w:szCs w:val="24"/>
        </w:rPr>
        <w:t>хК</w:t>
      </w:r>
      <w:r w:rsidRPr="00634C19">
        <w:rPr>
          <w:sz w:val="24"/>
          <w:szCs w:val="24"/>
          <w:vertAlign w:val="subscript"/>
        </w:rPr>
        <w:t>2</w:t>
      </w:r>
      <w:r w:rsidRPr="00634C19">
        <w:rPr>
          <w:sz w:val="24"/>
          <w:szCs w:val="24"/>
        </w:rPr>
        <w:t xml:space="preserve"> + A</w:t>
      </w:r>
      <w:r w:rsidRPr="00634C19">
        <w:rPr>
          <w:sz w:val="24"/>
          <w:szCs w:val="24"/>
          <w:vertAlign w:val="subscript"/>
        </w:rPr>
        <w:t>3</w:t>
      </w:r>
      <w:r w:rsidRPr="00634C19">
        <w:rPr>
          <w:sz w:val="24"/>
          <w:szCs w:val="24"/>
        </w:rPr>
        <w:t>хК</w:t>
      </w:r>
      <w:r w:rsidRPr="00634C19">
        <w:rPr>
          <w:sz w:val="24"/>
          <w:szCs w:val="24"/>
          <w:vertAlign w:val="subscript"/>
        </w:rPr>
        <w:t>3</w:t>
      </w:r>
    </w:p>
    <w:p w:rsidR="00B85B6A" w:rsidRPr="00634C19" w:rsidRDefault="00B85B6A" w:rsidP="00B85B6A">
      <w:pPr>
        <w:ind w:firstLine="709"/>
        <w:jc w:val="both"/>
        <w:rPr>
          <w:sz w:val="24"/>
          <w:szCs w:val="24"/>
        </w:rPr>
      </w:pPr>
    </w:p>
    <w:p w:rsidR="00B85B6A" w:rsidRPr="00634C19" w:rsidRDefault="00B85B6A" w:rsidP="00B85B6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r w:rsidRPr="00634C19">
        <w:rPr>
          <w:sz w:val="24"/>
          <w:szCs w:val="24"/>
        </w:rPr>
        <w:t>На първо място се класира офертата, получила най - висока комплексна оценка К</w:t>
      </w:r>
      <w:r w:rsidRPr="00634C19">
        <w:rPr>
          <w:sz w:val="24"/>
          <w:szCs w:val="24"/>
          <w:vertAlign w:val="subscript"/>
        </w:rPr>
        <w:t xml:space="preserve"> </w:t>
      </w:r>
      <w:proofErr w:type="spellStart"/>
      <w:r w:rsidRPr="00634C19">
        <w:rPr>
          <w:sz w:val="24"/>
          <w:szCs w:val="24"/>
          <w:vertAlign w:val="subscript"/>
        </w:rPr>
        <w:t>компл</w:t>
      </w:r>
      <w:proofErr w:type="spellEnd"/>
      <w:r w:rsidRPr="00634C19">
        <w:rPr>
          <w:sz w:val="24"/>
          <w:szCs w:val="24"/>
          <w:vertAlign w:val="subscript"/>
        </w:rPr>
        <w:t>.</w:t>
      </w:r>
    </w:p>
    <w:p w:rsidR="00B85B6A" w:rsidRDefault="00B85B6A" w:rsidP="00B85B6A">
      <w:pPr>
        <w:jc w:val="both"/>
        <w:rPr>
          <w:sz w:val="24"/>
          <w:szCs w:val="24"/>
        </w:rPr>
      </w:pPr>
      <w:r w:rsidRPr="00634C19">
        <w:rPr>
          <w:sz w:val="24"/>
          <w:szCs w:val="24"/>
        </w:rPr>
        <w:t xml:space="preserve">            Изчисленията се извършват с точност до третия знак след десетичната запетая. </w:t>
      </w:r>
    </w:p>
    <w:p w:rsidR="00CC04E1" w:rsidRDefault="00CC04E1"/>
    <w:sectPr w:rsidR="00CC04E1" w:rsidSect="0043491B">
      <w:pgSz w:w="11906" w:h="16838"/>
      <w:pgMar w:top="851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5F6B"/>
    <w:rsid w:val="00041D1B"/>
    <w:rsid w:val="000C6370"/>
    <w:rsid w:val="003E4A33"/>
    <w:rsid w:val="0043491B"/>
    <w:rsid w:val="005D76ED"/>
    <w:rsid w:val="006D06A0"/>
    <w:rsid w:val="008206EF"/>
    <w:rsid w:val="008C4F9E"/>
    <w:rsid w:val="00957073"/>
    <w:rsid w:val="009C1F54"/>
    <w:rsid w:val="00B62E04"/>
    <w:rsid w:val="00B85B6A"/>
    <w:rsid w:val="00BA372D"/>
    <w:rsid w:val="00CC04E1"/>
    <w:rsid w:val="00E30A06"/>
    <w:rsid w:val="00E676F1"/>
    <w:rsid w:val="00F35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C918"/>
  <w15:chartTrackingRefBased/>
  <w15:docId w15:val="{4577ECE4-F390-4534-9916-68B19D50A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B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Siyana S. Valcheva</dc:creator>
  <cp:keywords/>
  <dc:description/>
  <cp:lastModifiedBy>Siyana S. Valcheva</cp:lastModifiedBy>
  <cp:revision>17</cp:revision>
  <dcterms:created xsi:type="dcterms:W3CDTF">2019-05-09T10:32:00Z</dcterms:created>
  <dcterms:modified xsi:type="dcterms:W3CDTF">2019-05-28T07:30:00Z</dcterms:modified>
</cp:coreProperties>
</file>